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993" w:rsidRDefault="008E2993" w:rsidP="008E2993">
      <w:pPr>
        <w:jc w:val="center"/>
        <w:rPr>
          <w:rFonts w:ascii="Times New Roman" w:hAnsi="Times New Roman" w:cs="Times New Roman"/>
          <w:sz w:val="24"/>
        </w:rPr>
      </w:pPr>
    </w:p>
    <w:p w:rsidR="008E2993" w:rsidRDefault="008E2993" w:rsidP="008E2993">
      <w:pPr>
        <w:jc w:val="center"/>
        <w:rPr>
          <w:rFonts w:ascii="Times New Roman" w:hAnsi="Times New Roman" w:cs="Times New Roman"/>
          <w:sz w:val="24"/>
        </w:rPr>
      </w:pPr>
    </w:p>
    <w:p w:rsidR="008E2993" w:rsidRPr="00FF7FAE" w:rsidRDefault="008E2993" w:rsidP="008E2993">
      <w:pPr>
        <w:jc w:val="center"/>
        <w:rPr>
          <w:rFonts w:ascii="Times New Roman" w:hAnsi="Times New Roman" w:cs="Times New Roman"/>
          <w:b/>
          <w:sz w:val="24"/>
        </w:rPr>
      </w:pPr>
    </w:p>
    <w:p w:rsidR="00E55273" w:rsidRPr="00FF7FAE" w:rsidRDefault="00FF7FAE" w:rsidP="008E2993">
      <w:pPr>
        <w:jc w:val="center"/>
        <w:rPr>
          <w:rFonts w:ascii="Times New Roman" w:hAnsi="Times New Roman" w:cs="Times New Roman"/>
          <w:b/>
          <w:sz w:val="24"/>
        </w:rPr>
      </w:pPr>
      <w:r w:rsidRPr="00FF7FAE">
        <w:rPr>
          <w:rFonts w:ascii="Times New Roman" w:hAnsi="Times New Roman" w:cs="Times New Roman"/>
          <w:b/>
          <w:sz w:val="24"/>
        </w:rPr>
        <w:t>Question 2-</w:t>
      </w:r>
      <w:r w:rsidR="000C27C1" w:rsidRPr="00FF7FAE">
        <w:rPr>
          <w:rFonts w:ascii="Times New Roman" w:hAnsi="Times New Roman" w:cs="Times New Roman"/>
          <w:b/>
          <w:sz w:val="24"/>
        </w:rPr>
        <w:t>NLRA&amp;NLRB</w:t>
      </w:r>
    </w:p>
    <w:p w:rsidR="008E2993" w:rsidRDefault="008E2993" w:rsidP="008E2993">
      <w:pPr>
        <w:jc w:val="center"/>
        <w:rPr>
          <w:rFonts w:ascii="Times New Roman" w:hAnsi="Times New Roman" w:cs="Times New Roman"/>
          <w:sz w:val="24"/>
        </w:rPr>
      </w:pPr>
    </w:p>
    <w:p w:rsidR="008E2993" w:rsidRDefault="008E2993" w:rsidP="008E2993">
      <w:pPr>
        <w:jc w:val="center"/>
        <w:rPr>
          <w:rFonts w:ascii="Times New Roman" w:hAnsi="Times New Roman" w:cs="Times New Roman"/>
          <w:sz w:val="24"/>
        </w:rPr>
      </w:pPr>
    </w:p>
    <w:p w:rsidR="008E2993" w:rsidRDefault="008E2993" w:rsidP="008E2993">
      <w:pPr>
        <w:jc w:val="center"/>
        <w:rPr>
          <w:rFonts w:ascii="Times New Roman" w:hAnsi="Times New Roman" w:cs="Times New Roman"/>
          <w:sz w:val="24"/>
        </w:rPr>
      </w:pPr>
    </w:p>
    <w:p w:rsidR="008E2993" w:rsidRDefault="008E2993" w:rsidP="008E2993">
      <w:pPr>
        <w:jc w:val="center"/>
        <w:rPr>
          <w:rFonts w:ascii="Times New Roman" w:hAnsi="Times New Roman" w:cs="Times New Roman"/>
          <w:sz w:val="24"/>
        </w:rPr>
      </w:pPr>
    </w:p>
    <w:p w:rsidR="00A15086" w:rsidRDefault="000C27C1" w:rsidP="008E2993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</w:t>
      </w:r>
    </w:p>
    <w:p w:rsidR="00A15086" w:rsidRDefault="000C27C1" w:rsidP="008E2993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Institute of Affiliation</w:t>
      </w:r>
    </w:p>
    <w:p w:rsidR="00A15086" w:rsidRDefault="000C27C1" w:rsidP="008E2993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Professor</w:t>
      </w:r>
    </w:p>
    <w:p w:rsidR="00A15086" w:rsidRDefault="000C27C1" w:rsidP="008E2993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</w:t>
      </w:r>
    </w:p>
    <w:p w:rsidR="00A15086" w:rsidRDefault="00A15086">
      <w:pPr>
        <w:rPr>
          <w:rFonts w:ascii="Times New Roman" w:hAnsi="Times New Roman" w:cs="Times New Roman"/>
          <w:sz w:val="24"/>
        </w:rPr>
      </w:pPr>
    </w:p>
    <w:p w:rsidR="008E2993" w:rsidRDefault="008E2993">
      <w:pPr>
        <w:rPr>
          <w:rFonts w:ascii="Times New Roman" w:hAnsi="Times New Roman" w:cs="Times New Roman"/>
          <w:sz w:val="24"/>
        </w:rPr>
      </w:pPr>
    </w:p>
    <w:p w:rsidR="008C78CE" w:rsidRDefault="008C78CE">
      <w:pPr>
        <w:rPr>
          <w:rFonts w:ascii="Times New Roman" w:hAnsi="Times New Roman" w:cs="Times New Roman"/>
          <w:sz w:val="24"/>
        </w:rPr>
      </w:pPr>
    </w:p>
    <w:p w:rsidR="008C78CE" w:rsidRDefault="008C78CE">
      <w:pPr>
        <w:rPr>
          <w:rFonts w:ascii="Times New Roman" w:hAnsi="Times New Roman" w:cs="Times New Roman"/>
          <w:sz w:val="24"/>
        </w:rPr>
      </w:pPr>
    </w:p>
    <w:p w:rsidR="008C78CE" w:rsidRDefault="008C78CE">
      <w:pPr>
        <w:rPr>
          <w:rFonts w:ascii="Times New Roman" w:hAnsi="Times New Roman" w:cs="Times New Roman"/>
          <w:sz w:val="24"/>
        </w:rPr>
      </w:pPr>
    </w:p>
    <w:p w:rsidR="008C78CE" w:rsidRDefault="008C78CE">
      <w:pPr>
        <w:rPr>
          <w:rFonts w:ascii="Times New Roman" w:hAnsi="Times New Roman" w:cs="Times New Roman"/>
          <w:sz w:val="24"/>
        </w:rPr>
      </w:pPr>
    </w:p>
    <w:p w:rsidR="008C78CE" w:rsidRPr="000828F7" w:rsidRDefault="00FF7FAE" w:rsidP="00FF7FAE">
      <w:pPr>
        <w:jc w:val="center"/>
        <w:rPr>
          <w:rFonts w:ascii="Times New Roman" w:hAnsi="Times New Roman" w:cs="Times New Roman"/>
          <w:b/>
          <w:sz w:val="24"/>
        </w:rPr>
      </w:pPr>
      <w:r w:rsidRPr="00FF7FAE">
        <w:rPr>
          <w:rFonts w:ascii="Times New Roman" w:hAnsi="Times New Roman" w:cs="Times New Roman"/>
          <w:b/>
          <w:sz w:val="24"/>
        </w:rPr>
        <w:lastRenderedPageBreak/>
        <w:t>Question 2-NLRA&amp;NLRB</w:t>
      </w:r>
    </w:p>
    <w:p w:rsidR="008C78CE" w:rsidRDefault="000C27C1" w:rsidP="000828F7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National Labor Related Board is a national organization that directs the establishment and demeanor of union organizations and the conduct of industries involved with unions.</w:t>
      </w:r>
      <w:r w:rsidR="00926FCC">
        <w:rPr>
          <w:rFonts w:ascii="Times New Roman" w:hAnsi="Times New Roman" w:cs="Times New Roman"/>
          <w:sz w:val="24"/>
        </w:rPr>
        <w:t xml:space="preserve"> It was formed in 1935 by the Assembly to reduce the industrial conflict that obstructed the </w:t>
      </w:r>
      <w:r w:rsidR="00B83DB6">
        <w:rPr>
          <w:rFonts w:ascii="Times New Roman" w:hAnsi="Times New Roman" w:cs="Times New Roman"/>
          <w:sz w:val="24"/>
        </w:rPr>
        <w:t>usual</w:t>
      </w:r>
      <w:r w:rsidR="00926FCC">
        <w:rPr>
          <w:rFonts w:ascii="Times New Roman" w:hAnsi="Times New Roman" w:cs="Times New Roman"/>
          <w:sz w:val="24"/>
        </w:rPr>
        <w:t xml:space="preserve"> commerce</w:t>
      </w:r>
      <w:r w:rsidR="00B83DB6">
        <w:rPr>
          <w:rFonts w:ascii="Times New Roman" w:hAnsi="Times New Roman" w:cs="Times New Roman"/>
          <w:sz w:val="24"/>
        </w:rPr>
        <w:t xml:space="preserve"> flow. The Assembly created this board to protect workers' rights and their employers. It established a legal process for the workers to follow for collective bargaining</w:t>
      </w:r>
      <w:r w:rsidR="00FC2BA1">
        <w:rPr>
          <w:rFonts w:ascii="Times New Roman" w:hAnsi="Times New Roman" w:cs="Times New Roman"/>
          <w:sz w:val="24"/>
        </w:rPr>
        <w:t xml:space="preserve"> (Anderson, 2018)</w:t>
      </w:r>
      <w:r w:rsidR="00B83DB6">
        <w:rPr>
          <w:rFonts w:ascii="Times New Roman" w:hAnsi="Times New Roman" w:cs="Times New Roman"/>
          <w:sz w:val="24"/>
        </w:rPr>
        <w:t xml:space="preserve">. </w:t>
      </w:r>
      <w:r w:rsidR="005203FA">
        <w:rPr>
          <w:rFonts w:ascii="Times New Roman" w:hAnsi="Times New Roman" w:cs="Times New Roman"/>
          <w:sz w:val="24"/>
        </w:rPr>
        <w:t xml:space="preserve">National Labor Relations Act </w:t>
      </w:r>
      <w:r w:rsidR="000F7E32">
        <w:rPr>
          <w:rFonts w:ascii="Times New Roman" w:hAnsi="Times New Roman" w:cs="Times New Roman"/>
          <w:sz w:val="24"/>
        </w:rPr>
        <w:t>offered</w:t>
      </w:r>
      <w:r w:rsidR="005203FA">
        <w:rPr>
          <w:rFonts w:ascii="Times New Roman" w:hAnsi="Times New Roman" w:cs="Times New Roman"/>
          <w:sz w:val="24"/>
        </w:rPr>
        <w:t xml:space="preserve"> the employees the right to </w:t>
      </w:r>
      <w:r w:rsidR="000F7E32">
        <w:rPr>
          <w:rFonts w:ascii="Times New Roman" w:hAnsi="Times New Roman" w:cs="Times New Roman"/>
          <w:sz w:val="24"/>
        </w:rPr>
        <w:t>custom</w:t>
      </w:r>
      <w:r w:rsidR="005203FA">
        <w:rPr>
          <w:rFonts w:ascii="Times New Roman" w:hAnsi="Times New Roman" w:cs="Times New Roman"/>
          <w:sz w:val="24"/>
        </w:rPr>
        <w:t>, connect, or assist a union and participate in intensive activities for joint aid or assistance</w:t>
      </w:r>
      <w:r w:rsidR="00F660E1">
        <w:rPr>
          <w:rFonts w:ascii="Times New Roman" w:hAnsi="Times New Roman" w:cs="Times New Roman"/>
          <w:sz w:val="24"/>
        </w:rPr>
        <w:t>. NLRB acts to avert and remedy discriminatory labor practices committed by private division's employers and unions. They give legal agenda and supervision for union</w:t>
      </w:r>
      <w:r w:rsidR="00D60AC2">
        <w:rPr>
          <w:rFonts w:ascii="Times New Roman" w:hAnsi="Times New Roman" w:cs="Times New Roman"/>
          <w:sz w:val="24"/>
        </w:rPr>
        <w:t xml:space="preserve"> appointments and decertification in the private segment. It is authorized to scrutinize charges by workers, unions, or administration of prejudicial labor practices. </w:t>
      </w:r>
    </w:p>
    <w:p w:rsidR="00D60AC2" w:rsidRDefault="000C27C1" w:rsidP="000828F7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NLRB is accountable for enforcing the terms of NLRA. NLRB is also responsible for leading exemplification elections and verifying unions as their bargaining </w:t>
      </w:r>
      <w:r w:rsidR="00662C71">
        <w:rPr>
          <w:rFonts w:ascii="Times New Roman" w:hAnsi="Times New Roman" w:cs="Times New Roman"/>
          <w:sz w:val="24"/>
        </w:rPr>
        <w:t>body</w:t>
      </w:r>
      <w:r>
        <w:rPr>
          <w:rFonts w:ascii="Times New Roman" w:hAnsi="Times New Roman" w:cs="Times New Roman"/>
          <w:sz w:val="24"/>
        </w:rPr>
        <w:t xml:space="preserve"> </w:t>
      </w:r>
      <w:r w:rsidR="00FC2BA1">
        <w:rPr>
          <w:rFonts w:ascii="Times New Roman" w:hAnsi="Times New Roman" w:cs="Times New Roman"/>
          <w:sz w:val="24"/>
        </w:rPr>
        <w:t>(</w:t>
      </w:r>
      <w:proofErr w:type="spellStart"/>
      <w:r w:rsidR="00FC2BA1">
        <w:rPr>
          <w:rFonts w:ascii="Times New Roman" w:hAnsi="Times New Roman" w:cs="Times New Roman"/>
          <w:sz w:val="24"/>
        </w:rPr>
        <w:t>Plumer</w:t>
      </w:r>
      <w:proofErr w:type="spellEnd"/>
      <w:r w:rsidR="00FC2BA1">
        <w:rPr>
          <w:rFonts w:ascii="Times New Roman" w:hAnsi="Times New Roman" w:cs="Times New Roman"/>
          <w:sz w:val="24"/>
        </w:rPr>
        <w:t>, 2017)</w:t>
      </w:r>
      <w:r>
        <w:rPr>
          <w:rFonts w:ascii="Times New Roman" w:hAnsi="Times New Roman" w:cs="Times New Roman"/>
          <w:sz w:val="24"/>
        </w:rPr>
        <w:t>.</w:t>
      </w:r>
      <w:r w:rsidR="00662C71">
        <w:rPr>
          <w:rFonts w:ascii="Times New Roman" w:hAnsi="Times New Roman" w:cs="Times New Roman"/>
          <w:sz w:val="24"/>
        </w:rPr>
        <w:t xml:space="preserve"> NRLA executes a duty on partnerships to signify the workers in the bargaining element legally; for instance, the union has no right to treat a member who does not pay dues differently from the one who pays. NLRA forbids unions from having definite kinds of strikes. </w:t>
      </w:r>
    </w:p>
    <w:p w:rsidR="00662C71" w:rsidRPr="000828F7" w:rsidRDefault="000C27C1" w:rsidP="000828F7">
      <w:pPr>
        <w:jc w:val="center"/>
        <w:rPr>
          <w:rFonts w:ascii="Times New Roman" w:hAnsi="Times New Roman" w:cs="Times New Roman"/>
          <w:b/>
          <w:sz w:val="24"/>
        </w:rPr>
      </w:pPr>
      <w:r w:rsidRPr="000828F7">
        <w:rPr>
          <w:rFonts w:ascii="Times New Roman" w:hAnsi="Times New Roman" w:cs="Times New Roman"/>
          <w:b/>
          <w:sz w:val="24"/>
        </w:rPr>
        <w:t>NLRD Jurisdictions and its Tests before Enactment</w:t>
      </w:r>
    </w:p>
    <w:p w:rsidR="008876B1" w:rsidRDefault="000C27C1" w:rsidP="000828F7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panel has authority over the private segment, whose interstate trade surpasses a marginal level</w:t>
      </w:r>
      <w:r w:rsidR="00FC2BA1" w:rsidRPr="00FC2BA1">
        <w:rPr>
          <w:rFonts w:ascii="Times New Roman" w:hAnsi="Times New Roman" w:cs="Times New Roman"/>
          <w:sz w:val="24"/>
        </w:rPr>
        <w:t xml:space="preserve"> </w:t>
      </w:r>
      <w:r w:rsidR="00FC2BA1">
        <w:rPr>
          <w:rFonts w:ascii="Times New Roman" w:hAnsi="Times New Roman" w:cs="Times New Roman"/>
          <w:sz w:val="24"/>
        </w:rPr>
        <w:t>(O'Brien, 2020)</w:t>
      </w:r>
      <w:r>
        <w:rPr>
          <w:rFonts w:ascii="Times New Roman" w:hAnsi="Times New Roman" w:cs="Times New Roman"/>
          <w:sz w:val="24"/>
        </w:rPr>
        <w:t>.</w:t>
      </w:r>
      <w:r w:rsidR="00B83DB6">
        <w:rPr>
          <w:rFonts w:ascii="Times New Roman" w:hAnsi="Times New Roman" w:cs="Times New Roman"/>
          <w:sz w:val="24"/>
        </w:rPr>
        <w:t xml:space="preserve"> Vendors fall under NLRB jurisdiction if they make gross yearly capacities of </w:t>
      </w:r>
      <w:r>
        <w:rPr>
          <w:rFonts w:ascii="Times New Roman" w:hAnsi="Times New Roman" w:cs="Times New Roman"/>
          <w:sz w:val="24"/>
        </w:rPr>
        <w:t>a half a million dollars</w:t>
      </w:r>
      <w:bookmarkStart w:id="0" w:name="_GoBack"/>
      <w:bookmarkEnd w:id="0"/>
      <w:r w:rsidR="00FF7FAE">
        <w:rPr>
          <w:rFonts w:ascii="Times New Roman" w:hAnsi="Times New Roman" w:cs="Times New Roman"/>
          <w:sz w:val="24"/>
        </w:rPr>
        <w:t>, including</w:t>
      </w:r>
      <w:r>
        <w:rPr>
          <w:rFonts w:ascii="Times New Roman" w:hAnsi="Times New Roman" w:cs="Times New Roman"/>
          <w:sz w:val="24"/>
        </w:rPr>
        <w:t xml:space="preserve"> employers who work in casinos, condominiums, amusement industry.  The non-retailers, the board's jurisdiction, focus on the employee's goods </w:t>
      </w:r>
      <w:r>
        <w:rPr>
          <w:rFonts w:ascii="Times New Roman" w:hAnsi="Times New Roman" w:cs="Times New Roman"/>
          <w:sz w:val="24"/>
        </w:rPr>
        <w:lastRenderedPageBreak/>
        <w:t>and services, either as inflows or outflows going through a retailer ranging from $50,000. Exceptional categories include businesses providing needed links or departments like health in special care homes or orphanage and religious organizations.</w:t>
      </w:r>
    </w:p>
    <w:p w:rsidR="00662C71" w:rsidRDefault="000C27C1" w:rsidP="000828F7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Super shuttle was a petition filed by employees who wanted to be represented by the NLRB but were not members of the union but were sovereign contractor</w:t>
      </w:r>
      <w:r w:rsidR="00FC2BA1">
        <w:rPr>
          <w:rFonts w:ascii="Times New Roman" w:hAnsi="Times New Roman" w:cs="Times New Roman"/>
          <w:sz w:val="24"/>
        </w:rPr>
        <w:t>s</w:t>
      </w:r>
      <w:r w:rsidR="00FC2BA1" w:rsidRPr="00FC2BA1">
        <w:rPr>
          <w:rFonts w:ascii="Times New Roman" w:hAnsi="Times New Roman" w:cs="Times New Roman"/>
          <w:sz w:val="24"/>
        </w:rPr>
        <w:t xml:space="preserve"> </w:t>
      </w:r>
      <w:r w:rsidR="00FC2BA1">
        <w:rPr>
          <w:rFonts w:ascii="Times New Roman" w:hAnsi="Times New Roman" w:cs="Times New Roman"/>
          <w:sz w:val="24"/>
        </w:rPr>
        <w:t>(</w:t>
      </w:r>
      <w:proofErr w:type="spellStart"/>
      <w:r w:rsidR="00FC2BA1">
        <w:rPr>
          <w:rFonts w:ascii="Times New Roman" w:hAnsi="Times New Roman" w:cs="Times New Roman"/>
          <w:sz w:val="24"/>
        </w:rPr>
        <w:t>Curiale</w:t>
      </w:r>
      <w:proofErr w:type="spellEnd"/>
      <w:r w:rsidR="00FC2BA1">
        <w:rPr>
          <w:rFonts w:ascii="Times New Roman" w:hAnsi="Times New Roman" w:cs="Times New Roman"/>
          <w:sz w:val="24"/>
        </w:rPr>
        <w:t xml:space="preserve">, </w:t>
      </w:r>
      <w:r w:rsidR="00FC2BA1" w:rsidRPr="00FC2BA1">
        <w:rPr>
          <w:rFonts w:ascii="Times New Roman" w:hAnsi="Times New Roman" w:cs="Times New Roman"/>
          <w:sz w:val="24"/>
        </w:rPr>
        <w:t>2017</w:t>
      </w:r>
      <w:r w:rsidR="00FC2BA1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.</w:t>
      </w:r>
      <w:r w:rsidR="000828F7">
        <w:rPr>
          <w:rFonts w:ascii="Times New Roman" w:hAnsi="Times New Roman" w:cs="Times New Roman"/>
          <w:sz w:val="24"/>
        </w:rPr>
        <w:t xml:space="preserve"> This led the union to recognize those workers in the union and those that do not belong in the union.</w:t>
      </w:r>
      <w:r>
        <w:rPr>
          <w:rFonts w:ascii="Times New Roman" w:hAnsi="Times New Roman" w:cs="Times New Roman"/>
          <w:sz w:val="24"/>
        </w:rPr>
        <w:t xml:space="preserve"> Clear Pine Moldings Test, </w:t>
      </w:r>
      <w:r w:rsidR="000828F7">
        <w:rPr>
          <w:rFonts w:ascii="Times New Roman" w:hAnsi="Times New Roman" w:cs="Times New Roman"/>
          <w:sz w:val="24"/>
        </w:rPr>
        <w:t xml:space="preserve">the workers, misses the protection to frighten them beneath the employee's Act. This was used to test how the union would be necessary in such cases, which is </w:t>
      </w:r>
      <w:proofErr w:type="gramStart"/>
      <w:r w:rsidR="000828F7">
        <w:rPr>
          <w:rFonts w:ascii="Times New Roman" w:hAnsi="Times New Roman" w:cs="Times New Roman"/>
          <w:sz w:val="24"/>
        </w:rPr>
        <w:t>key</w:t>
      </w:r>
      <w:proofErr w:type="gramEnd"/>
      <w:r w:rsidR="000828F7">
        <w:rPr>
          <w:rFonts w:ascii="Times New Roman" w:hAnsi="Times New Roman" w:cs="Times New Roman"/>
          <w:sz w:val="24"/>
        </w:rPr>
        <w:t xml:space="preserve"> to keeping abreast of all situations at hand.</w:t>
      </w:r>
    </w:p>
    <w:p w:rsidR="00FC2BA1" w:rsidRDefault="00FC2BA1" w:rsidP="000828F7">
      <w:pPr>
        <w:ind w:firstLine="720"/>
        <w:rPr>
          <w:rFonts w:ascii="Times New Roman" w:hAnsi="Times New Roman" w:cs="Times New Roman"/>
          <w:sz w:val="24"/>
        </w:rPr>
      </w:pPr>
    </w:p>
    <w:p w:rsidR="00FC2BA1" w:rsidRDefault="00FC2BA1" w:rsidP="000828F7">
      <w:pPr>
        <w:ind w:firstLine="720"/>
        <w:rPr>
          <w:rFonts w:ascii="Times New Roman" w:hAnsi="Times New Roman" w:cs="Times New Roman"/>
          <w:sz w:val="24"/>
        </w:rPr>
      </w:pPr>
    </w:p>
    <w:p w:rsidR="00FC2BA1" w:rsidRDefault="00FC2BA1" w:rsidP="000828F7">
      <w:pPr>
        <w:ind w:firstLine="720"/>
        <w:rPr>
          <w:rFonts w:ascii="Times New Roman" w:hAnsi="Times New Roman" w:cs="Times New Roman"/>
          <w:sz w:val="24"/>
        </w:rPr>
      </w:pPr>
    </w:p>
    <w:p w:rsidR="00FC2BA1" w:rsidRDefault="00FC2BA1" w:rsidP="000828F7">
      <w:pPr>
        <w:ind w:firstLine="720"/>
        <w:rPr>
          <w:rFonts w:ascii="Times New Roman" w:hAnsi="Times New Roman" w:cs="Times New Roman"/>
          <w:sz w:val="24"/>
        </w:rPr>
      </w:pPr>
    </w:p>
    <w:p w:rsidR="00FC2BA1" w:rsidRDefault="00FC2BA1" w:rsidP="000828F7">
      <w:pPr>
        <w:ind w:firstLine="720"/>
        <w:rPr>
          <w:rFonts w:ascii="Times New Roman" w:hAnsi="Times New Roman" w:cs="Times New Roman"/>
          <w:sz w:val="24"/>
        </w:rPr>
      </w:pPr>
    </w:p>
    <w:p w:rsidR="00FC2BA1" w:rsidRDefault="00FC2BA1" w:rsidP="000828F7">
      <w:pPr>
        <w:ind w:firstLine="720"/>
        <w:rPr>
          <w:rFonts w:ascii="Times New Roman" w:hAnsi="Times New Roman" w:cs="Times New Roman"/>
          <w:sz w:val="24"/>
        </w:rPr>
      </w:pPr>
    </w:p>
    <w:p w:rsidR="00FC2BA1" w:rsidRDefault="00FC2BA1" w:rsidP="000828F7">
      <w:pPr>
        <w:ind w:firstLine="720"/>
        <w:rPr>
          <w:rFonts w:ascii="Times New Roman" w:hAnsi="Times New Roman" w:cs="Times New Roman"/>
          <w:sz w:val="24"/>
        </w:rPr>
      </w:pPr>
    </w:p>
    <w:p w:rsidR="00FC2BA1" w:rsidRDefault="00FC2BA1" w:rsidP="000828F7">
      <w:pPr>
        <w:ind w:firstLine="720"/>
        <w:rPr>
          <w:rFonts w:ascii="Times New Roman" w:hAnsi="Times New Roman" w:cs="Times New Roman"/>
          <w:sz w:val="24"/>
        </w:rPr>
      </w:pPr>
    </w:p>
    <w:p w:rsidR="00FC2BA1" w:rsidRDefault="00FC2BA1" w:rsidP="000828F7">
      <w:pPr>
        <w:ind w:firstLine="720"/>
        <w:rPr>
          <w:rFonts w:ascii="Times New Roman" w:hAnsi="Times New Roman" w:cs="Times New Roman"/>
          <w:sz w:val="24"/>
        </w:rPr>
      </w:pPr>
    </w:p>
    <w:p w:rsidR="00FC2BA1" w:rsidRDefault="00FC2BA1" w:rsidP="000828F7">
      <w:pPr>
        <w:ind w:firstLine="720"/>
        <w:rPr>
          <w:rFonts w:ascii="Times New Roman" w:hAnsi="Times New Roman" w:cs="Times New Roman"/>
          <w:sz w:val="24"/>
        </w:rPr>
      </w:pPr>
    </w:p>
    <w:p w:rsidR="00FC2BA1" w:rsidRDefault="00FC2BA1" w:rsidP="000828F7">
      <w:pPr>
        <w:ind w:firstLine="720"/>
        <w:rPr>
          <w:rFonts w:ascii="Times New Roman" w:hAnsi="Times New Roman" w:cs="Times New Roman"/>
          <w:sz w:val="24"/>
        </w:rPr>
      </w:pPr>
    </w:p>
    <w:p w:rsidR="00FC2BA1" w:rsidRPr="00FC2BA1" w:rsidRDefault="000C27C1" w:rsidP="00FC2BA1">
      <w:pPr>
        <w:ind w:firstLine="720"/>
        <w:jc w:val="center"/>
        <w:rPr>
          <w:rFonts w:ascii="Times New Roman" w:hAnsi="Times New Roman" w:cs="Times New Roman"/>
          <w:b/>
          <w:sz w:val="24"/>
        </w:rPr>
      </w:pPr>
      <w:r w:rsidRPr="00FC2BA1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FC2BA1" w:rsidRPr="00FC2BA1" w:rsidRDefault="000C27C1" w:rsidP="00FC2BA1">
      <w:pPr>
        <w:ind w:left="720" w:hanging="720"/>
        <w:rPr>
          <w:rFonts w:ascii="Times New Roman" w:hAnsi="Times New Roman" w:cs="Times New Roman"/>
          <w:sz w:val="24"/>
        </w:rPr>
      </w:pPr>
      <w:r w:rsidRPr="00FC2BA1">
        <w:rPr>
          <w:rFonts w:ascii="Times New Roman" w:hAnsi="Times New Roman" w:cs="Times New Roman"/>
          <w:sz w:val="24"/>
        </w:rPr>
        <w:t xml:space="preserve">Anderson, J. A. (2018). </w:t>
      </w:r>
      <w:proofErr w:type="gramStart"/>
      <w:r w:rsidRPr="00FC2BA1">
        <w:rPr>
          <w:rFonts w:ascii="Times New Roman" w:hAnsi="Times New Roman" w:cs="Times New Roman"/>
          <w:sz w:val="24"/>
        </w:rPr>
        <w:t>Graduate Students or University Employees?</w:t>
      </w:r>
      <w:proofErr w:type="gramEnd"/>
      <w:r w:rsidRPr="00FC2BA1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C2BA1">
        <w:rPr>
          <w:rFonts w:ascii="Times New Roman" w:hAnsi="Times New Roman" w:cs="Times New Roman"/>
          <w:sz w:val="24"/>
        </w:rPr>
        <w:t>The NLRB Got It Wrong; It’s Time for Congress to get it Right.</w:t>
      </w:r>
      <w:proofErr w:type="gramEnd"/>
    </w:p>
    <w:p w:rsidR="00FC2BA1" w:rsidRPr="00FC2BA1" w:rsidRDefault="000C27C1" w:rsidP="00FC2BA1">
      <w:pPr>
        <w:ind w:left="720" w:hanging="720"/>
        <w:rPr>
          <w:rFonts w:ascii="Times New Roman" w:hAnsi="Times New Roman" w:cs="Times New Roman"/>
          <w:sz w:val="24"/>
        </w:rPr>
      </w:pPr>
      <w:proofErr w:type="spellStart"/>
      <w:r w:rsidRPr="00FC2BA1">
        <w:rPr>
          <w:rFonts w:ascii="Times New Roman" w:hAnsi="Times New Roman" w:cs="Times New Roman"/>
          <w:sz w:val="24"/>
        </w:rPr>
        <w:t>Curiale</w:t>
      </w:r>
      <w:proofErr w:type="spellEnd"/>
      <w:r w:rsidRPr="00FC2BA1">
        <w:rPr>
          <w:rFonts w:ascii="Times New Roman" w:hAnsi="Times New Roman" w:cs="Times New Roman"/>
          <w:sz w:val="24"/>
        </w:rPr>
        <w:t xml:space="preserve">, R. J. (2017). </w:t>
      </w:r>
      <w:proofErr w:type="gramStart"/>
      <w:r w:rsidRPr="00FC2BA1">
        <w:rPr>
          <w:rFonts w:ascii="Times New Roman" w:hAnsi="Times New Roman" w:cs="Times New Roman"/>
          <w:sz w:val="24"/>
        </w:rPr>
        <w:t>NLRB Jurisdiction Over Religious Schools and the Religion Clause of the First Amendment.</w:t>
      </w:r>
      <w:proofErr w:type="gramEnd"/>
      <w:r w:rsidRPr="00FC2BA1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C2BA1">
        <w:rPr>
          <w:rFonts w:ascii="Times New Roman" w:hAnsi="Times New Roman" w:cs="Times New Roman"/>
          <w:i/>
          <w:iCs/>
          <w:sz w:val="24"/>
        </w:rPr>
        <w:t>The Catholic Lawyer</w:t>
      </w:r>
      <w:r w:rsidRPr="00FC2BA1">
        <w:rPr>
          <w:rFonts w:ascii="Times New Roman" w:hAnsi="Times New Roman" w:cs="Times New Roman"/>
          <w:sz w:val="24"/>
        </w:rPr>
        <w:t xml:space="preserve">, </w:t>
      </w:r>
      <w:r w:rsidRPr="00FC2BA1">
        <w:rPr>
          <w:rFonts w:ascii="Times New Roman" w:hAnsi="Times New Roman" w:cs="Times New Roman"/>
          <w:i/>
          <w:iCs/>
          <w:sz w:val="24"/>
        </w:rPr>
        <w:t>24</w:t>
      </w:r>
      <w:r w:rsidRPr="00FC2BA1">
        <w:rPr>
          <w:rFonts w:ascii="Times New Roman" w:hAnsi="Times New Roman" w:cs="Times New Roman"/>
          <w:sz w:val="24"/>
        </w:rPr>
        <w:t>(1), 6.</w:t>
      </w:r>
      <w:proofErr w:type="gramEnd"/>
    </w:p>
    <w:p w:rsidR="00FC2BA1" w:rsidRPr="00FC2BA1" w:rsidRDefault="000C27C1" w:rsidP="00FC2BA1">
      <w:pPr>
        <w:ind w:left="720" w:hanging="720"/>
        <w:rPr>
          <w:rFonts w:ascii="Times New Roman" w:hAnsi="Times New Roman" w:cs="Times New Roman"/>
          <w:sz w:val="24"/>
        </w:rPr>
      </w:pPr>
      <w:r w:rsidRPr="00FC2BA1">
        <w:rPr>
          <w:rFonts w:ascii="Times New Roman" w:hAnsi="Times New Roman" w:cs="Times New Roman"/>
          <w:sz w:val="24"/>
        </w:rPr>
        <w:t xml:space="preserve">O'Brien, C. N. (2020). Twenty-First Century Labor Law: Striking the Right Balance between Workplace Civility Rules that Accommodate Equal Employment Opportunity Obligations and the Loss of Protection for Concerted Activities </w:t>
      </w:r>
      <w:proofErr w:type="gramStart"/>
      <w:r w:rsidRPr="00FC2BA1">
        <w:rPr>
          <w:rFonts w:ascii="Times New Roman" w:hAnsi="Times New Roman" w:cs="Times New Roman"/>
          <w:sz w:val="24"/>
        </w:rPr>
        <w:t>Under</w:t>
      </w:r>
      <w:proofErr w:type="gramEnd"/>
      <w:r w:rsidRPr="00FC2BA1">
        <w:rPr>
          <w:rFonts w:ascii="Times New Roman" w:hAnsi="Times New Roman" w:cs="Times New Roman"/>
          <w:sz w:val="24"/>
        </w:rPr>
        <w:t xml:space="preserve"> the National Labor Relations Act</w:t>
      </w:r>
    </w:p>
    <w:p w:rsidR="00FC2BA1" w:rsidRPr="00FC2BA1" w:rsidRDefault="000C27C1" w:rsidP="00FC2BA1">
      <w:pPr>
        <w:ind w:left="720" w:hanging="720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FC2BA1">
        <w:rPr>
          <w:rFonts w:ascii="Times New Roman" w:hAnsi="Times New Roman" w:cs="Times New Roman"/>
          <w:sz w:val="24"/>
        </w:rPr>
        <w:t>Plumer</w:t>
      </w:r>
      <w:proofErr w:type="spellEnd"/>
      <w:r w:rsidRPr="00FC2BA1">
        <w:rPr>
          <w:rFonts w:ascii="Times New Roman" w:hAnsi="Times New Roman" w:cs="Times New Roman"/>
          <w:sz w:val="24"/>
        </w:rPr>
        <w:t>, R. (2017).</w:t>
      </w:r>
      <w:proofErr w:type="gramEnd"/>
      <w:r w:rsidRPr="00FC2BA1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C2BA1">
        <w:rPr>
          <w:rFonts w:ascii="Times New Roman" w:hAnsi="Times New Roman" w:cs="Times New Roman"/>
          <w:sz w:val="24"/>
        </w:rPr>
        <w:t>Overriding Tribal Sovereignty by Applying the National Labor Relations Act to Indian Tribes in Soaring Eagle Casino and Resort v. National Labor Relations Board.</w:t>
      </w:r>
      <w:proofErr w:type="gramEnd"/>
      <w:r w:rsidRPr="00FC2BA1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C2BA1">
        <w:rPr>
          <w:rFonts w:ascii="Times New Roman" w:hAnsi="Times New Roman" w:cs="Times New Roman"/>
          <w:i/>
          <w:iCs/>
          <w:sz w:val="24"/>
        </w:rPr>
        <w:t xml:space="preserve">Law &amp; </w:t>
      </w:r>
      <w:proofErr w:type="spellStart"/>
      <w:r w:rsidRPr="00FC2BA1">
        <w:rPr>
          <w:rFonts w:ascii="Times New Roman" w:hAnsi="Times New Roman" w:cs="Times New Roman"/>
          <w:i/>
          <w:iCs/>
          <w:sz w:val="24"/>
        </w:rPr>
        <w:t>Ineq</w:t>
      </w:r>
      <w:proofErr w:type="spellEnd"/>
      <w:r w:rsidRPr="00FC2BA1">
        <w:rPr>
          <w:rFonts w:ascii="Times New Roman" w:hAnsi="Times New Roman" w:cs="Times New Roman"/>
          <w:i/>
          <w:iCs/>
          <w:sz w:val="24"/>
        </w:rPr>
        <w:t>.</w:t>
      </w:r>
      <w:r w:rsidRPr="00FC2BA1">
        <w:rPr>
          <w:rFonts w:ascii="Times New Roman" w:hAnsi="Times New Roman" w:cs="Times New Roman"/>
          <w:sz w:val="24"/>
        </w:rPr>
        <w:t xml:space="preserve">, </w:t>
      </w:r>
      <w:r w:rsidRPr="00FC2BA1">
        <w:rPr>
          <w:rFonts w:ascii="Times New Roman" w:hAnsi="Times New Roman" w:cs="Times New Roman"/>
          <w:i/>
          <w:iCs/>
          <w:sz w:val="24"/>
        </w:rPr>
        <w:t>35</w:t>
      </w:r>
      <w:r w:rsidRPr="00FC2BA1">
        <w:rPr>
          <w:rFonts w:ascii="Times New Roman" w:hAnsi="Times New Roman" w:cs="Times New Roman"/>
          <w:sz w:val="24"/>
        </w:rPr>
        <w:t>, 131.</w:t>
      </w:r>
      <w:proofErr w:type="gramEnd"/>
    </w:p>
    <w:p w:rsidR="00FC2BA1" w:rsidRPr="00FC2BA1" w:rsidRDefault="00FC2BA1" w:rsidP="00FC2BA1">
      <w:pPr>
        <w:rPr>
          <w:rFonts w:ascii="Times New Roman" w:hAnsi="Times New Roman" w:cs="Times New Roman"/>
          <w:sz w:val="28"/>
        </w:rPr>
      </w:pPr>
    </w:p>
    <w:sectPr w:rsidR="00FC2BA1" w:rsidRPr="00FC2BA1" w:rsidSect="00E552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436" w:rsidRDefault="00F81436">
      <w:pPr>
        <w:spacing w:after="0" w:line="240" w:lineRule="auto"/>
      </w:pPr>
      <w:r>
        <w:separator/>
      </w:r>
    </w:p>
  </w:endnote>
  <w:endnote w:type="continuationSeparator" w:id="0">
    <w:p w:rsidR="00F81436" w:rsidRDefault="00F81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697" w:rsidRDefault="00FB169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697" w:rsidRDefault="00FB169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697" w:rsidRDefault="00FB16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436" w:rsidRDefault="00F81436">
      <w:pPr>
        <w:spacing w:after="0" w:line="240" w:lineRule="auto"/>
      </w:pPr>
      <w:r>
        <w:separator/>
      </w:r>
    </w:p>
  </w:footnote>
  <w:footnote w:type="continuationSeparator" w:id="0">
    <w:p w:rsidR="00F81436" w:rsidRDefault="00F81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697" w:rsidRDefault="00FB169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53172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0C27C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7F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08485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0C27C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7FA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273"/>
    <w:rsid w:val="000828F7"/>
    <w:rsid w:val="000C27C1"/>
    <w:rsid w:val="000F7E32"/>
    <w:rsid w:val="00196E21"/>
    <w:rsid w:val="001C09DB"/>
    <w:rsid w:val="00213FBA"/>
    <w:rsid w:val="003409E3"/>
    <w:rsid w:val="005203FA"/>
    <w:rsid w:val="0057417E"/>
    <w:rsid w:val="006312C8"/>
    <w:rsid w:val="00662C71"/>
    <w:rsid w:val="007C1ECF"/>
    <w:rsid w:val="007D64B3"/>
    <w:rsid w:val="008876B1"/>
    <w:rsid w:val="008C78CE"/>
    <w:rsid w:val="008E2993"/>
    <w:rsid w:val="00926FCC"/>
    <w:rsid w:val="00A15086"/>
    <w:rsid w:val="00A27F97"/>
    <w:rsid w:val="00AB5E81"/>
    <w:rsid w:val="00B83DB6"/>
    <w:rsid w:val="00D60AC2"/>
    <w:rsid w:val="00E55273"/>
    <w:rsid w:val="00F32D94"/>
    <w:rsid w:val="00F660E1"/>
    <w:rsid w:val="00F81436"/>
    <w:rsid w:val="00FB1697"/>
    <w:rsid w:val="00FC2BA1"/>
    <w:rsid w:val="00FF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2020-09-05T09:17:00Z</dcterms:created>
  <dcterms:modified xsi:type="dcterms:W3CDTF">2020-09-05T11:18:00Z</dcterms:modified>
</cp:coreProperties>
</file>